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687"/>
        <w:gridCol w:w="2953"/>
        <w:gridCol w:w="3060"/>
      </w:tblGrid>
      <w:tr w:rsidR="000A6C89" w14:paraId="2A1F2855" w14:textId="77777777" w:rsidTr="000A6C89">
        <w:tc>
          <w:tcPr>
            <w:tcW w:w="1555" w:type="dxa"/>
          </w:tcPr>
          <w:p w14:paraId="39620811" w14:textId="77777777" w:rsidR="000A6C89" w:rsidRPr="00607212" w:rsidRDefault="000A6C89" w:rsidP="0018443A">
            <w:pPr>
              <w:rPr>
                <w:b/>
                <w:bCs/>
                <w:lang w:val="fr-FR"/>
              </w:rPr>
            </w:pPr>
            <w:r w:rsidRPr="00607212">
              <w:rPr>
                <w:b/>
                <w:bCs/>
                <w:lang w:val="fr-FR"/>
              </w:rPr>
              <w:t>Catégorie</w:t>
            </w:r>
          </w:p>
        </w:tc>
        <w:tc>
          <w:tcPr>
            <w:tcW w:w="2687" w:type="dxa"/>
          </w:tcPr>
          <w:p w14:paraId="00DC5224" w14:textId="77777777" w:rsidR="000A6C89" w:rsidRPr="00607212" w:rsidRDefault="000A6C89" w:rsidP="0018443A">
            <w:pPr>
              <w:rPr>
                <w:b/>
                <w:bCs/>
                <w:lang w:val="fr-FR"/>
              </w:rPr>
            </w:pPr>
            <w:r w:rsidRPr="00607212">
              <w:rPr>
                <w:b/>
                <w:bCs/>
                <w:lang w:val="fr-FR"/>
              </w:rPr>
              <w:t>Pas suffisant</w:t>
            </w:r>
          </w:p>
        </w:tc>
        <w:tc>
          <w:tcPr>
            <w:tcW w:w="2953" w:type="dxa"/>
          </w:tcPr>
          <w:p w14:paraId="1F47DA04" w14:textId="77777777" w:rsidR="000A6C89" w:rsidRPr="00607212" w:rsidRDefault="000A6C89" w:rsidP="0018443A">
            <w:pPr>
              <w:rPr>
                <w:b/>
                <w:bCs/>
                <w:lang w:val="fr-FR"/>
              </w:rPr>
            </w:pPr>
            <w:r w:rsidRPr="00607212">
              <w:rPr>
                <w:b/>
                <w:bCs/>
                <w:lang w:val="fr-FR"/>
              </w:rPr>
              <w:t>Suffisant</w:t>
            </w:r>
            <w:r>
              <w:rPr>
                <w:b/>
                <w:bCs/>
                <w:lang w:val="fr-FR"/>
              </w:rPr>
              <w:t xml:space="preserve"> (A2+)</w:t>
            </w:r>
          </w:p>
        </w:tc>
        <w:tc>
          <w:tcPr>
            <w:tcW w:w="3060" w:type="dxa"/>
          </w:tcPr>
          <w:p w14:paraId="22838201" w14:textId="77777777" w:rsidR="000A6C89" w:rsidRPr="00607212" w:rsidRDefault="000A6C89" w:rsidP="0018443A">
            <w:pPr>
              <w:rPr>
                <w:b/>
                <w:bCs/>
                <w:lang w:val="fr-FR"/>
              </w:rPr>
            </w:pPr>
            <w:r w:rsidRPr="00607212">
              <w:rPr>
                <w:b/>
                <w:bCs/>
                <w:lang w:val="fr-FR"/>
              </w:rPr>
              <w:t>Plus que suffisant</w:t>
            </w:r>
            <w:r>
              <w:rPr>
                <w:b/>
                <w:bCs/>
                <w:lang w:val="fr-FR"/>
              </w:rPr>
              <w:t xml:space="preserve"> (B1)</w:t>
            </w:r>
          </w:p>
        </w:tc>
      </w:tr>
      <w:tr w:rsidR="000A6C89" w14:paraId="2A83FCC8" w14:textId="77777777" w:rsidTr="000A6C89">
        <w:tc>
          <w:tcPr>
            <w:tcW w:w="10255" w:type="dxa"/>
            <w:gridSpan w:val="4"/>
            <w:shd w:val="clear" w:color="auto" w:fill="C00000"/>
          </w:tcPr>
          <w:p w14:paraId="085B1D69" w14:textId="77777777" w:rsidR="000A6C89" w:rsidRPr="00817E4D" w:rsidRDefault="000A6C89" w:rsidP="0018443A">
            <w:pPr>
              <w:jc w:val="center"/>
              <w:rPr>
                <w:b/>
                <w:bCs/>
                <w:lang w:val="fr-FR"/>
              </w:rPr>
            </w:pPr>
            <w:r w:rsidRPr="00817E4D">
              <w:rPr>
                <w:b/>
                <w:bCs/>
                <w:lang w:val="fr-FR"/>
              </w:rPr>
              <w:t>Inhoudelijke eisen</w:t>
            </w:r>
          </w:p>
        </w:tc>
      </w:tr>
      <w:tr w:rsidR="000A6C89" w14:paraId="315B6583" w14:textId="77777777" w:rsidTr="000A6C89">
        <w:tc>
          <w:tcPr>
            <w:tcW w:w="1555" w:type="dxa"/>
            <w:shd w:val="clear" w:color="auto" w:fill="C00000"/>
          </w:tcPr>
          <w:p w14:paraId="24854642" w14:textId="77777777" w:rsidR="000A6C89" w:rsidRPr="00EA043C" w:rsidRDefault="000A6C89" w:rsidP="0018443A">
            <w:pPr>
              <w:rPr>
                <w:b/>
                <w:bCs/>
                <w:lang w:val="fr-FR"/>
              </w:rPr>
            </w:pPr>
            <w:r w:rsidRPr="00EA043C">
              <w:rPr>
                <w:b/>
                <w:bCs/>
                <w:lang w:val="fr-FR"/>
              </w:rPr>
              <w:t>Tekstbegrip</w:t>
            </w:r>
          </w:p>
        </w:tc>
        <w:tc>
          <w:tcPr>
            <w:tcW w:w="2687" w:type="dxa"/>
          </w:tcPr>
          <w:p w14:paraId="27E519A6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Uit de geschreven tekst wordt niet duidelijk dat de leerling belangrijke informatie kan begrijpen uit een tekst. </w:t>
            </w:r>
          </w:p>
        </w:tc>
        <w:tc>
          <w:tcPr>
            <w:tcW w:w="2953" w:type="dxa"/>
          </w:tcPr>
          <w:p w14:paraId="1B15B1F6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Uit de geschreven tekst wordt duidelijk dat de leerling belangrijke informatie uit een tekst kan begrijpen. </w:t>
            </w:r>
          </w:p>
        </w:tc>
        <w:tc>
          <w:tcPr>
            <w:tcW w:w="3060" w:type="dxa"/>
          </w:tcPr>
          <w:p w14:paraId="2A58F27D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Uit de geschreven tekst wordt duidelijk dat de leerling zowel grote lijnen als details kan begrijpen in een tekst. </w:t>
            </w:r>
          </w:p>
        </w:tc>
      </w:tr>
      <w:tr w:rsidR="000A6C89" w14:paraId="58CE6CD4" w14:textId="77777777" w:rsidTr="000A6C89">
        <w:tc>
          <w:tcPr>
            <w:tcW w:w="1555" w:type="dxa"/>
            <w:shd w:val="clear" w:color="auto" w:fill="C00000"/>
          </w:tcPr>
          <w:p w14:paraId="1A522859" w14:textId="77777777" w:rsidR="000A6C89" w:rsidRPr="00EA043C" w:rsidRDefault="000A6C89" w:rsidP="0018443A">
            <w:pPr>
              <w:rPr>
                <w:b/>
                <w:bCs/>
                <w:lang w:val="fr-FR"/>
              </w:rPr>
            </w:pPr>
            <w:r w:rsidRPr="00EA043C">
              <w:rPr>
                <w:b/>
                <w:bCs/>
                <w:lang w:val="fr-FR"/>
              </w:rPr>
              <w:t>Begrip van het fragment</w:t>
            </w:r>
          </w:p>
        </w:tc>
        <w:tc>
          <w:tcPr>
            <w:tcW w:w="2687" w:type="dxa"/>
          </w:tcPr>
          <w:p w14:paraId="5CE2A0AE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Uit de geschreven tekst wordt onvoldoende duidelijk dat thema, toon en grote lijnen uit het audiofragment zijn begrepen. </w:t>
            </w:r>
          </w:p>
        </w:tc>
        <w:tc>
          <w:tcPr>
            <w:tcW w:w="2953" w:type="dxa"/>
          </w:tcPr>
          <w:p w14:paraId="7D3B1A32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Uit de geschreven tekst wordt duidelijk dat de leerling het thema, de toon en informatie in grote lijnen uit een audiofragment kan begrijpen. </w:t>
            </w:r>
          </w:p>
        </w:tc>
        <w:tc>
          <w:tcPr>
            <w:tcW w:w="3060" w:type="dxa"/>
          </w:tcPr>
          <w:p w14:paraId="5F68F6BC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Uit de geschreven tekst wordt duidelijk dat de leerling het thema, de toon, belangrijke informatie en de boodschap redelijk gedetailleerd kan begrijpen uit een audiofragment. </w:t>
            </w:r>
          </w:p>
        </w:tc>
      </w:tr>
      <w:tr w:rsidR="000A6C89" w14:paraId="4CD3FEAC" w14:textId="77777777" w:rsidTr="000A6C89">
        <w:tc>
          <w:tcPr>
            <w:tcW w:w="10255" w:type="dxa"/>
            <w:gridSpan w:val="4"/>
            <w:shd w:val="clear" w:color="auto" w:fill="C00000"/>
          </w:tcPr>
          <w:p w14:paraId="0231D564" w14:textId="77777777" w:rsidR="000A6C89" w:rsidRPr="00817E4D" w:rsidRDefault="000A6C89" w:rsidP="0018443A">
            <w:pPr>
              <w:jc w:val="center"/>
              <w:rPr>
                <w:b/>
                <w:bCs/>
                <w:lang w:val="fr-FR"/>
              </w:rPr>
            </w:pPr>
            <w:r w:rsidRPr="00817E4D">
              <w:rPr>
                <w:b/>
                <w:bCs/>
                <w:lang w:val="fr-FR"/>
              </w:rPr>
              <w:t>Textuele eisen</w:t>
            </w:r>
          </w:p>
        </w:tc>
      </w:tr>
      <w:tr w:rsidR="000A6C89" w14:paraId="77E3BA9A" w14:textId="77777777" w:rsidTr="000A6C89">
        <w:tc>
          <w:tcPr>
            <w:tcW w:w="1555" w:type="dxa"/>
            <w:shd w:val="clear" w:color="auto" w:fill="C00000"/>
          </w:tcPr>
          <w:p w14:paraId="7BDDDFCE" w14:textId="77777777" w:rsidR="000A6C89" w:rsidRPr="00EA043C" w:rsidRDefault="000A6C89" w:rsidP="0018443A">
            <w:pPr>
              <w:rPr>
                <w:b/>
                <w:bCs/>
                <w:lang w:val="fr-FR"/>
              </w:rPr>
            </w:pPr>
            <w:r w:rsidRPr="00EA043C">
              <w:rPr>
                <w:b/>
                <w:bCs/>
                <w:lang w:val="fr-FR"/>
              </w:rPr>
              <w:t>Woordgebruik</w:t>
            </w:r>
          </w:p>
        </w:tc>
        <w:tc>
          <w:tcPr>
            <w:tcW w:w="2687" w:type="dxa"/>
          </w:tcPr>
          <w:p w14:paraId="09DFD215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De leerlingen beschikt over onvoldoende woordenschat om dingen en mensen te presenteren en zijn mening te geven. </w:t>
            </w:r>
          </w:p>
        </w:tc>
        <w:tc>
          <w:tcPr>
            <w:tcW w:w="2953" w:type="dxa"/>
          </w:tcPr>
          <w:p w14:paraId="6A8B26D9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De leerling beschikt uit voldoende woordenschat om dingen en personen te presenteren en zijn mening te geven. </w:t>
            </w:r>
          </w:p>
        </w:tc>
        <w:tc>
          <w:tcPr>
            <w:tcW w:w="3060" w:type="dxa"/>
          </w:tcPr>
          <w:p w14:paraId="775E4E03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Beschikt over voldoende woordenschat om over vertrouwde (geleerde) onderwerpen te schrijven. Maakt een enkele fout in een onbekende situatie. </w:t>
            </w:r>
          </w:p>
        </w:tc>
      </w:tr>
      <w:tr w:rsidR="000A6C89" w14:paraId="08F2BB3E" w14:textId="77777777" w:rsidTr="000A6C89">
        <w:tc>
          <w:tcPr>
            <w:tcW w:w="1555" w:type="dxa"/>
            <w:shd w:val="clear" w:color="auto" w:fill="C00000"/>
          </w:tcPr>
          <w:p w14:paraId="767AAD56" w14:textId="77777777" w:rsidR="000A6C89" w:rsidRPr="00EA043C" w:rsidRDefault="000A6C89" w:rsidP="0018443A">
            <w:pPr>
              <w:rPr>
                <w:b/>
                <w:bCs/>
                <w:lang w:val="fr-FR"/>
              </w:rPr>
            </w:pPr>
            <w:r w:rsidRPr="00EA043C">
              <w:rPr>
                <w:b/>
                <w:bCs/>
                <w:lang w:val="fr-FR"/>
              </w:rPr>
              <w:t>Grammaticale constructies</w:t>
            </w:r>
          </w:p>
        </w:tc>
        <w:tc>
          <w:tcPr>
            <w:tcW w:w="2687" w:type="dxa"/>
          </w:tcPr>
          <w:p w14:paraId="5B58C523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M.b.v. gramaticale constructies kan onvoldoende worden angetoond dat de leerling dingen en personen kan presenteren en zijn mening kan geven. </w:t>
            </w:r>
          </w:p>
        </w:tc>
        <w:tc>
          <w:tcPr>
            <w:tcW w:w="2953" w:type="dxa"/>
          </w:tcPr>
          <w:p w14:paraId="778FA428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>De leerling beschikt over voldoende kennis van grammatica om zijn mening te geven en zaken te presenteren. De leerling maakt nog basisfouten, maar de betekenis is altijd duidelijk (A2+)</w:t>
            </w:r>
          </w:p>
        </w:tc>
        <w:tc>
          <w:tcPr>
            <w:tcW w:w="3060" w:type="dxa"/>
          </w:tcPr>
          <w:p w14:paraId="5C998791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Beschikt over voldoende kennis van grammatica, hoewel een enkele fout wordt gemaakt. De betekenis is altijd duidelijk. </w:t>
            </w:r>
          </w:p>
        </w:tc>
      </w:tr>
      <w:tr w:rsidR="000A6C89" w14:paraId="66A345AA" w14:textId="77777777" w:rsidTr="000A6C89">
        <w:tc>
          <w:tcPr>
            <w:tcW w:w="1555" w:type="dxa"/>
            <w:shd w:val="clear" w:color="auto" w:fill="C00000"/>
          </w:tcPr>
          <w:p w14:paraId="6305ECC6" w14:textId="77777777" w:rsidR="000A6C89" w:rsidRPr="00EA043C" w:rsidRDefault="000A6C89" w:rsidP="0018443A">
            <w:pPr>
              <w:rPr>
                <w:b/>
                <w:bCs/>
                <w:lang w:val="fr-FR"/>
              </w:rPr>
            </w:pPr>
            <w:r w:rsidRPr="00EA043C">
              <w:rPr>
                <w:b/>
                <w:bCs/>
                <w:lang w:val="fr-FR"/>
              </w:rPr>
              <w:t>Werkwoord-gebruik</w:t>
            </w:r>
          </w:p>
        </w:tc>
        <w:tc>
          <w:tcPr>
            <w:tcW w:w="2687" w:type="dxa"/>
          </w:tcPr>
          <w:p w14:paraId="75594B0F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Fouten in werkwoorden beïnvloeden meermaals het tekstbegrip. </w:t>
            </w:r>
          </w:p>
        </w:tc>
        <w:tc>
          <w:tcPr>
            <w:tcW w:w="2953" w:type="dxa"/>
          </w:tcPr>
          <w:p w14:paraId="7DA16433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De leerling kan het gebruik van werkwoorden in de meeste gevallen aanpassen aan de context, hoewel af en toe nog basisfouten worden gemaakt. </w:t>
            </w:r>
          </w:p>
        </w:tc>
        <w:tc>
          <w:tcPr>
            <w:tcW w:w="3060" w:type="dxa"/>
          </w:tcPr>
          <w:p w14:paraId="338DEBFE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Gebruik van werkwoorden is in de meeste gevallen correct aangpast aan de context. </w:t>
            </w:r>
          </w:p>
        </w:tc>
      </w:tr>
      <w:tr w:rsidR="000A6C89" w14:paraId="588DEB3B" w14:textId="77777777" w:rsidTr="000A6C89">
        <w:tc>
          <w:tcPr>
            <w:tcW w:w="1555" w:type="dxa"/>
            <w:shd w:val="clear" w:color="auto" w:fill="C00000"/>
          </w:tcPr>
          <w:p w14:paraId="20B47529" w14:textId="77777777" w:rsidR="000A6C89" w:rsidRPr="00EA043C" w:rsidRDefault="000A6C89" w:rsidP="0018443A">
            <w:pPr>
              <w:rPr>
                <w:b/>
                <w:bCs/>
                <w:lang w:val="fr-FR"/>
              </w:rPr>
            </w:pPr>
            <w:r w:rsidRPr="00EA043C">
              <w:rPr>
                <w:b/>
                <w:bCs/>
                <w:lang w:val="fr-FR"/>
              </w:rPr>
              <w:t>Zinsbouw</w:t>
            </w:r>
          </w:p>
        </w:tc>
        <w:tc>
          <w:tcPr>
            <w:tcW w:w="2687" w:type="dxa"/>
          </w:tcPr>
          <w:p w14:paraId="45FF56AC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Zinnen zijn regelmatig niet volgens Franse regels opgebouwd, zinnen zijn enkelvoudig. </w:t>
            </w:r>
          </w:p>
        </w:tc>
        <w:tc>
          <w:tcPr>
            <w:tcW w:w="2953" w:type="dxa"/>
          </w:tcPr>
          <w:p w14:paraId="6FACE7D6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Zinnen zijn af en toe samengesteld, waarbij zinsdelen worden verbonden met signaalwoorden. Zinnen zijn in vrijwel alle gevallen volgens Franse regels opgebouwd. </w:t>
            </w:r>
          </w:p>
        </w:tc>
        <w:tc>
          <w:tcPr>
            <w:tcW w:w="3060" w:type="dxa"/>
          </w:tcPr>
          <w:p w14:paraId="5746F766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>Zinnen zijn vrijwel altijd volgens Franse regels opgebouwd. Zinnen zijn vaak samengesteld.</w:t>
            </w:r>
          </w:p>
        </w:tc>
      </w:tr>
      <w:tr w:rsidR="000A6C89" w14:paraId="5567135B" w14:textId="77777777" w:rsidTr="000A6C89">
        <w:tc>
          <w:tcPr>
            <w:tcW w:w="1555" w:type="dxa"/>
            <w:shd w:val="clear" w:color="auto" w:fill="C00000"/>
          </w:tcPr>
          <w:p w14:paraId="578614D8" w14:textId="77777777" w:rsidR="000A6C89" w:rsidRPr="00EA043C" w:rsidRDefault="000A6C89" w:rsidP="0018443A">
            <w:pPr>
              <w:rPr>
                <w:b/>
                <w:bCs/>
                <w:lang w:val="fr-FR"/>
              </w:rPr>
            </w:pPr>
            <w:r w:rsidRPr="00EA043C">
              <w:rPr>
                <w:b/>
                <w:bCs/>
                <w:lang w:val="fr-FR"/>
              </w:rPr>
              <w:t>Samenhang</w:t>
            </w:r>
          </w:p>
        </w:tc>
        <w:tc>
          <w:tcPr>
            <w:tcW w:w="2687" w:type="dxa"/>
          </w:tcPr>
          <w:p w14:paraId="4DDA7736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De tekst in onsamenhangend. </w:t>
            </w:r>
          </w:p>
        </w:tc>
        <w:tc>
          <w:tcPr>
            <w:tcW w:w="2953" w:type="dxa"/>
          </w:tcPr>
          <w:p w14:paraId="511C3D2A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De tekst is redelijk georganiseerd opgebouwd. </w:t>
            </w:r>
          </w:p>
        </w:tc>
        <w:tc>
          <w:tcPr>
            <w:tcW w:w="3060" w:type="dxa"/>
          </w:tcPr>
          <w:p w14:paraId="43635956" w14:textId="77777777" w:rsidR="000A6C89" w:rsidRDefault="000A6C89" w:rsidP="0018443A">
            <w:pPr>
              <w:rPr>
                <w:lang w:val="fr-FR"/>
              </w:rPr>
            </w:pPr>
            <w:r>
              <w:rPr>
                <w:lang w:val="fr-FR"/>
              </w:rPr>
              <w:t xml:space="preserve">Zinnen en tekstdelen zijn samenhangend geschreven met behulp van signaalwoorden. </w:t>
            </w:r>
          </w:p>
        </w:tc>
      </w:tr>
    </w:tbl>
    <w:p w14:paraId="4FE83906" w14:textId="77777777" w:rsidR="003820A6" w:rsidRPr="000A6C89" w:rsidRDefault="003820A6" w:rsidP="000A6C89"/>
    <w:sectPr w:rsidR="003820A6" w:rsidRPr="000A6C89" w:rsidSect="000A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7EDE"/>
    <w:multiLevelType w:val="hybridMultilevel"/>
    <w:tmpl w:val="D2861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7772"/>
    <w:multiLevelType w:val="hybridMultilevel"/>
    <w:tmpl w:val="663C6C7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A1954"/>
    <w:multiLevelType w:val="hybridMultilevel"/>
    <w:tmpl w:val="E1CE2B8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2000891">
    <w:abstractNumId w:val="1"/>
  </w:num>
  <w:num w:numId="2" w16cid:durableId="961112131">
    <w:abstractNumId w:val="0"/>
  </w:num>
  <w:num w:numId="3" w16cid:durableId="154077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A6"/>
    <w:rsid w:val="000A6C89"/>
    <w:rsid w:val="003820A6"/>
    <w:rsid w:val="0075649A"/>
    <w:rsid w:val="0078297A"/>
    <w:rsid w:val="00840B2F"/>
    <w:rsid w:val="00A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43F6A"/>
  <w15:chartTrackingRefBased/>
  <w15:docId w15:val="{0C4254F2-1C7F-254A-859B-AD09C722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6C89"/>
    <w:pPr>
      <w:spacing w:after="200" w:line="288" w:lineRule="auto"/>
    </w:pPr>
    <w:rPr>
      <w:rFonts w:eastAsiaTheme="minorEastAsia"/>
      <w:iCs/>
      <w:kern w:val="0"/>
      <w:sz w:val="21"/>
      <w:szCs w:val="21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40B2F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="Bradley Hand" w:eastAsiaTheme="majorEastAsia" w:hAnsi="Bradley Hand" w:cstheme="majorBidi"/>
      <w:b/>
      <w:i/>
      <w:color w:val="FFFFFF" w:themeColor="background1"/>
      <w:spacing w:val="10"/>
      <w:kern w:val="2"/>
      <w:sz w:val="48"/>
      <w:szCs w:val="48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40B2F"/>
    <w:rPr>
      <w:rFonts w:ascii="Bradley Hand" w:eastAsiaTheme="majorEastAsia" w:hAnsi="Bradley Hand" w:cstheme="majorBidi"/>
      <w:b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Lijstalinea">
    <w:name w:val="List Paragraph"/>
    <w:basedOn w:val="Standaard"/>
    <w:uiPriority w:val="34"/>
    <w:qFormat/>
    <w:rsid w:val="003820A6"/>
    <w:pPr>
      <w:spacing w:after="0" w:line="240" w:lineRule="auto"/>
      <w:ind w:left="720"/>
      <w:contextualSpacing/>
    </w:pPr>
    <w:rPr>
      <w:rFonts w:eastAsiaTheme="minorHAnsi"/>
      <w:iCs w:val="0"/>
      <w:kern w:val="2"/>
      <w:sz w:val="24"/>
      <w:szCs w:val="24"/>
      <w:lang w:val="fr-FR"/>
      <w14:ligatures w14:val="standardContextual"/>
    </w:rPr>
  </w:style>
  <w:style w:type="table" w:styleId="Tabelraster">
    <w:name w:val="Table Grid"/>
    <w:basedOn w:val="Standaardtabel"/>
    <w:uiPriority w:val="39"/>
    <w:rsid w:val="0038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Bastijn Oostra</dc:creator>
  <cp:keywords/>
  <dc:description/>
  <cp:lastModifiedBy>Bastijn Oostra</cp:lastModifiedBy>
  <cp:revision>2</cp:revision>
  <dcterms:created xsi:type="dcterms:W3CDTF">2023-12-13T12:01:00Z</dcterms:created>
  <dcterms:modified xsi:type="dcterms:W3CDTF">2024-03-27T14:21:00Z</dcterms:modified>
</cp:coreProperties>
</file>